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1、用餐：3早2正餐（正餐15元/人，八菜一汤，十人一桌，如用餐人数不足十人一桌，餐厅将根据实际人数酌减菜量）；
                <w:br/>
                2、住宿：3晚住宿酒店，旅游酒店标准双人间（空调、彩色、冷热水、独立卫生间，若产生单男单女则尽量安排三人间或由客人补房费差价）；
                <w:br/>
                参考酒店：
                <w:br/>
                南宁： 南宁宁家商旅酒店、南宁你好酒店等同档次
                <w:br/>
                硕龙/下雷：绿岛酒店、大阳谷山庄、新新度假酒店、下雷玉明珠大酒店后楼、下雷汽修宾馆后楼等同级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5、交通：南宁-德天往返空调旅游车（一人一正座）；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2025-04-27T21:26:50+08:00</dcterms:created>
  <dcterms:modified xsi:type="dcterms:W3CDTF">2025-04-27T21:26:50+08:00</dcterms:modified>
</cp:coreProperties>
</file>

<file path=docProps/custom.xml><?xml version="1.0" encoding="utf-8"?>
<Properties xmlns="http://schemas.openxmlformats.org/officeDocument/2006/custom-properties" xmlns:vt="http://schemas.openxmlformats.org/officeDocument/2006/docPropsVTypes"/>
</file>