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欢乐迪士尼行程单</w:t>
      </w:r>
    </w:p>
    <w:p>
      <w:pPr>
        <w:jc w:val="center"/>
        <w:spacing w:after="100"/>
      </w:pPr>
      <w:r>
        <w:rPr>
          <w:rFonts w:ascii="微软雅黑" w:hAnsi="微软雅黑" w:eastAsia="微软雅黑" w:cs="微软雅黑"/>
          <w:sz w:val="20"/>
          <w:szCs w:val="20"/>
        </w:rPr>
        <w:t xml:space="preserve">迪士尼·香港（住2晚香港酒店）·澳门·港珠澳大桥·珠海·动车纯玩5日游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广西-香港西九龙口岸-香港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南宁东或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1、团队为广西人独立成团，领队在南宁东站出发，客人广西全区各地出发，抵达时间如不一致，需相互等待，望理解！
                <w:br/>
                2、所有动车票经票务出票，不保证位置在一起，望理解！
                <w:br/>
                3、参考车次以实际出票车次为准。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2025-06-19T00:44:52+08:00</dcterms:created>
  <dcterms:modified xsi:type="dcterms:W3CDTF">2025-06-19T00:44:52+08:00</dcterms:modified>
</cp:coreProperties>
</file>

<file path=docProps/custom.xml><?xml version="1.0" encoding="utf-8"?>
<Properties xmlns="http://schemas.openxmlformats.org/officeDocument/2006/custom-properties" xmlns:vt="http://schemas.openxmlformats.org/officeDocument/2006/docPropsVTypes"/>
</file>